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pStyle w:val="Style_2"/>
        <w:spacing w:after="0" w:before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ПРОЕКТ РЕШЕНИЙ</w:t>
      </w:r>
    </w:p>
    <w:p w14:paraId="06000000">
      <w:pPr>
        <w:pStyle w:val="Style_2"/>
        <w:spacing w:after="0" w:before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заседания Совета по внешнеэкономической деятельности </w:t>
      </w:r>
    </w:p>
    <w:p w14:paraId="07000000">
      <w:pPr>
        <w:pStyle w:val="Style_2"/>
        <w:spacing w:after="0" w:before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при Губернаторе Камчатского края (далее - Совет по ВЭД)</w:t>
      </w:r>
    </w:p>
    <w:p w14:paraId="08000000">
      <w:pPr>
        <w:pStyle w:val="Style_2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г. Петропавловск-Камчатский</w:t>
      </w:r>
    </w:p>
    <w:p w14:paraId="09000000">
      <w:pPr>
        <w:pStyle w:val="Style_2"/>
        <w:spacing w:after="0" w:before="0" w:line="240" w:lineRule="auto"/>
        <w:ind/>
        <w:jc w:val="both"/>
        <w:rPr>
          <w:rFonts w:ascii="Times New Roman" w:hAnsi="Times New Roman"/>
          <w:sz w:val="28"/>
        </w:rPr>
      </w:pPr>
    </w:p>
    <w:p w14:paraId="0A000000">
      <w:pPr>
        <w:pStyle w:val="Style_2"/>
        <w:spacing w:after="0" w:before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ПРЕДСЕДАТЕЛЬСТВОВАЛ</w:t>
      </w:r>
    </w:p>
    <w:p w14:paraId="0B000000">
      <w:pPr>
        <w:pStyle w:val="Style_2"/>
        <w:tabs>
          <w:tab w:leader="none" w:pos="708" w:val="clear"/>
          <w:tab w:leader="none" w:pos="3969" w:val="left"/>
        </w:tabs>
        <w:spacing w:after="0" w:before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заместитель Председателя Правительства Камчатского края </w:t>
      </w:r>
    </w:p>
    <w:p w14:paraId="0C000000">
      <w:pPr>
        <w:pStyle w:val="Style_2"/>
        <w:tabs>
          <w:tab w:leader="none" w:pos="708" w:val="clear"/>
          <w:tab w:leader="none" w:pos="3969" w:val="left"/>
        </w:tabs>
        <w:spacing w:after="0" w:before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МОРОЗОВА Ю.С.</w:t>
      </w:r>
    </w:p>
    <w:p w14:paraId="0D000000">
      <w:pPr>
        <w:pStyle w:val="Style_2"/>
        <w:tabs>
          <w:tab w:leader="none" w:pos="708" w:val="clear"/>
          <w:tab w:leader="none" w:pos="3969" w:val="left"/>
        </w:tabs>
        <w:spacing w:after="0" w:before="0" w:line="240" w:lineRule="auto"/>
        <w:ind/>
        <w:jc w:val="both"/>
        <w:rPr>
          <w:rFonts w:ascii="Times New Roman" w:hAnsi="Times New Roman"/>
          <w:sz w:val="28"/>
        </w:rPr>
      </w:pPr>
    </w:p>
    <w:p w14:paraId="0E000000">
      <w:pPr>
        <w:pStyle w:val="Style_2"/>
        <w:spacing w:after="0" w:before="0" w:line="240" w:lineRule="auto"/>
        <w:ind/>
        <w:jc w:val="both"/>
        <w:rPr>
          <w:rFonts w:ascii="Times New Roman" w:hAnsi="Times New Roman"/>
          <w:sz w:val="28"/>
        </w:rPr>
      </w:pPr>
    </w:p>
    <w:tbl>
      <w:tblPr>
        <w:tblStyle w:val="Style_3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9921"/>
      </w:tblGrid>
      <w:tr>
        <w:tc>
          <w:tcPr>
            <w:tcW w:type="dxa" w:w="9921"/>
            <w:tcBorders>
              <w:left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F000000">
            <w:pPr>
              <w:pStyle w:val="Style_2"/>
              <w:widowControl w:val="1"/>
              <w:spacing w:after="200" w:before="0" w:line="240" w:lineRule="auto"/>
              <w:ind w:firstLine="709" w:left="0"/>
              <w:jc w:val="both"/>
              <w:rPr>
                <w:rFonts w:ascii="Times New Roman" w:hAnsi="Times New Roman"/>
                <w:b w:val="0"/>
                <w:i w:val="0"/>
                <w:sz w:val="28"/>
              </w:rPr>
            </w:pPr>
            <w:r>
              <w:rPr>
                <w:rFonts w:ascii="Times New Roman" w:hAnsi="Times New Roman"/>
                <w:b w:val="0"/>
                <w:i w:val="0"/>
                <w:sz w:val="28"/>
              </w:rPr>
              <w:t xml:space="preserve">1. </w:t>
            </w:r>
            <w:r>
              <w:rPr>
                <w:rFonts w:ascii="Times New Roman" w:hAnsi="Times New Roman"/>
                <w:b w:val="0"/>
                <w:i w:val="0"/>
                <w:sz w:val="28"/>
              </w:rPr>
              <w:t>О</w:t>
            </w:r>
            <w:r>
              <w:rPr>
                <w:rFonts w:ascii="Times New Roman" w:hAnsi="Times New Roman"/>
                <w:b w:val="0"/>
                <w:i w:val="0"/>
                <w:sz w:val="28"/>
              </w:rPr>
              <w:t xml:space="preserve"> промежуточных итогах внедрения Регионального экспортного стандарта 2.0.</w:t>
            </w:r>
          </w:p>
        </w:tc>
      </w:tr>
    </w:tbl>
    <w:p w14:paraId="10000000">
      <w:pPr>
        <w:pStyle w:val="Style_4"/>
        <w:tabs>
          <w:tab w:leader="none" w:pos="708" w:val="clear"/>
          <w:tab w:leader="none" w:pos="1134" w:val="left"/>
        </w:tabs>
        <w:ind w:firstLine="0" w:left="709"/>
        <w:jc w:val="both"/>
        <w:rPr>
          <w:color w:val="000000"/>
        </w:rPr>
      </w:pPr>
    </w:p>
    <w:p w14:paraId="11000000">
      <w:pPr>
        <w:pStyle w:val="Style_4"/>
        <w:tabs>
          <w:tab w:leader="none" w:pos="708" w:val="clear"/>
          <w:tab w:leader="none" w:pos="1134" w:val="left"/>
        </w:tabs>
        <w:ind w:firstLine="850" w:left="0"/>
        <w:jc w:val="both"/>
        <w:rPr>
          <w:color w:val="000000"/>
        </w:rPr>
      </w:pPr>
      <w:r>
        <w:rPr>
          <w:color w:val="000000"/>
        </w:rPr>
        <w:t>1.1. Министерству туризма Камчатского края:</w:t>
      </w:r>
    </w:p>
    <w:p w14:paraId="12000000">
      <w:pPr>
        <w:pStyle w:val="Style_4"/>
        <w:tabs>
          <w:tab w:leader="none" w:pos="708" w:val="clear"/>
          <w:tab w:leader="none" w:pos="1134" w:val="left"/>
        </w:tabs>
        <w:ind w:firstLine="850" w:left="0"/>
        <w:jc w:val="both"/>
        <w:rPr>
          <w:color w:val="000000"/>
        </w:rPr>
      </w:pPr>
      <w:r>
        <w:rPr>
          <w:color w:val="000000"/>
        </w:rPr>
        <w:t>1.1.1. продолжить работу по внедрению инструментов Регионального экспортного стандарта 2.0.;</w:t>
      </w:r>
    </w:p>
    <w:p w14:paraId="13000000">
      <w:pPr>
        <w:pStyle w:val="Style_4"/>
        <w:tabs>
          <w:tab w:leader="none" w:pos="708" w:val="clear"/>
          <w:tab w:leader="none" w:pos="1134" w:val="left"/>
        </w:tabs>
        <w:spacing w:line="240" w:lineRule="auto"/>
        <w:ind w:firstLine="850" w:left="0"/>
        <w:jc w:val="both"/>
        <w:rPr>
          <w:color w:val="000000"/>
        </w:rPr>
      </w:pPr>
      <w:r>
        <w:rPr>
          <w:color w:val="000000"/>
        </w:rPr>
        <w:t>1.1.2. отчитаться об итогах внедрения Регионального экспортного стандарта 2.0.</w:t>
      </w:r>
    </w:p>
    <w:p w14:paraId="14000000">
      <w:pPr>
        <w:pStyle w:val="Style_4"/>
        <w:tabs>
          <w:tab w:leader="none" w:pos="708" w:val="clear"/>
          <w:tab w:leader="none" w:pos="1134" w:val="left"/>
        </w:tabs>
        <w:spacing w:line="240" w:lineRule="auto"/>
        <w:ind w:firstLine="850" w:left="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>срок – доклад на заседании Совета по ВЭД во II квартале 2024 года.</w:t>
      </w:r>
    </w:p>
    <w:p w14:paraId="15000000">
      <w:pPr>
        <w:pStyle w:val="Style_4"/>
        <w:tabs>
          <w:tab w:leader="none" w:pos="708" w:val="clear"/>
          <w:tab w:leader="none" w:pos="1134" w:val="left"/>
        </w:tabs>
        <w:spacing w:line="240" w:lineRule="auto"/>
        <w:ind w:firstLine="850" w:left="0"/>
        <w:jc w:val="both"/>
        <w:rPr>
          <w:color w:val="000000"/>
        </w:rPr>
      </w:pPr>
    </w:p>
    <w:p w14:paraId="16000000">
      <w:pPr>
        <w:pStyle w:val="Style_4"/>
        <w:spacing w:line="240" w:lineRule="auto"/>
        <w:ind w:firstLine="850" w:left="0"/>
        <w:jc w:val="both"/>
      </w:pPr>
    </w:p>
    <w:p w14:paraId="17000000">
      <w:pPr>
        <w:pStyle w:val="Style_4"/>
        <w:spacing w:line="240" w:lineRule="auto"/>
        <w:ind w:firstLine="850" w:left="0"/>
        <w:jc w:val="both"/>
      </w:pPr>
    </w:p>
    <w:tbl>
      <w:tblPr>
        <w:tblStyle w:val="Style_3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9921"/>
      </w:tblGrid>
      <w:tr>
        <w:tc>
          <w:tcPr>
            <w:tcW w:type="dxa" w:w="9921"/>
            <w:tcBorders>
              <w:left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pStyle w:val="Style_2"/>
              <w:widowControl w:val="1"/>
              <w:spacing w:after="200" w:before="0" w:line="240" w:lineRule="auto"/>
              <w:ind w:firstLine="850"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2. </w:t>
            </w:r>
            <w:r>
              <w:rPr>
                <w:rFonts w:ascii="Times New Roman" w:hAnsi="Times New Roman"/>
                <w:sz w:val="28"/>
              </w:rPr>
              <w:t>Об участии в международных конгрессно-выставочных и ярмарочных мероприятиях в 2023 году. Утверждение перечня международных выставочно-ярмарочных мероприятий исполнительных органов Камчатского края и подведомственных учреждений на 2024 год.</w:t>
            </w:r>
          </w:p>
        </w:tc>
      </w:tr>
    </w:tbl>
    <w:p w14:paraId="19000000">
      <w:pPr>
        <w:pStyle w:val="Style_4"/>
        <w:tabs>
          <w:tab w:leader="none" w:pos="708" w:val="clear"/>
          <w:tab w:leader="none" w:pos="1134" w:val="left"/>
        </w:tabs>
        <w:spacing w:line="240" w:lineRule="auto"/>
        <w:ind w:firstLine="141" w:left="709"/>
        <w:jc w:val="both"/>
        <w:rPr>
          <w:color w:val="000000"/>
        </w:rPr>
      </w:pPr>
    </w:p>
    <w:p w14:paraId="1A000000">
      <w:pPr>
        <w:pStyle w:val="Style_4"/>
        <w:numPr>
          <w:ilvl w:val="1"/>
          <w:numId w:val="1"/>
        </w:numPr>
        <w:spacing w:line="240" w:lineRule="auto"/>
        <w:ind w:firstLine="850" w:left="0"/>
        <w:jc w:val="both"/>
      </w:pPr>
      <w:r>
        <w:rPr>
          <w:color w:val="000000"/>
        </w:rPr>
        <w:t xml:space="preserve"> </w:t>
      </w:r>
      <w:r>
        <w:rPr>
          <w:color w:val="000000"/>
        </w:rPr>
        <w:t>Принять</w:t>
      </w:r>
      <w:r>
        <w:t xml:space="preserve"> за основу </w:t>
      </w:r>
      <w:r>
        <w:t>перечень</w:t>
      </w:r>
      <w:r>
        <w:t xml:space="preserve"> международных выставочно-ярмарочных мероприятий исполнительных органов Камчатского края и подведомственных учреждений </w:t>
      </w:r>
      <w:r>
        <w:t>для участия в</w:t>
      </w:r>
      <w:r>
        <w:t xml:space="preserve"> 2023 год.</w:t>
      </w:r>
    </w:p>
    <w:p w14:paraId="1B000000">
      <w:pPr>
        <w:pStyle w:val="Style_4"/>
        <w:ind w:firstLine="850" w:left="0"/>
        <w:jc w:val="both"/>
      </w:pPr>
    </w:p>
    <w:p w14:paraId="1C000000">
      <w:pPr>
        <w:pStyle w:val="Style_4"/>
        <w:ind w:firstLine="850" w:left="0"/>
        <w:jc w:val="both"/>
      </w:pPr>
    </w:p>
    <w:p w14:paraId="1D000000">
      <w:pPr>
        <w:pStyle w:val="Style_4"/>
        <w:ind w:firstLine="850" w:left="0"/>
        <w:jc w:val="both"/>
      </w:pPr>
    </w:p>
    <w:tbl>
      <w:tblPr>
        <w:tblStyle w:val="Style_3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9921"/>
      </w:tblGrid>
      <w:tr>
        <w:tc>
          <w:tcPr>
            <w:tcW w:type="dxa" w:w="9921"/>
            <w:tcBorders>
              <w:left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pStyle w:val="Style_2"/>
              <w:widowControl w:val="1"/>
              <w:spacing w:after="200" w:before="0" w:line="264" w:lineRule="auto"/>
              <w:ind w:firstLine="850"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3. </w:t>
            </w:r>
            <w:r>
              <w:rPr>
                <w:rFonts w:ascii="Times New Roman" w:hAnsi="Times New Roman"/>
                <w:sz w:val="28"/>
              </w:rPr>
              <w:t xml:space="preserve">О </w:t>
            </w:r>
            <w:r>
              <w:rPr>
                <w:rFonts w:ascii="Times New Roman" w:hAnsi="Times New Roman"/>
                <w:sz w:val="28"/>
              </w:rPr>
              <w:t>проекте Региональной программы развития экспорта Камчатского края.</w:t>
            </w:r>
          </w:p>
        </w:tc>
      </w:tr>
    </w:tbl>
    <w:p w14:paraId="1F000000">
      <w:pPr>
        <w:pStyle w:val="Style_4"/>
        <w:tabs>
          <w:tab w:leader="none" w:pos="708" w:val="clear"/>
          <w:tab w:leader="none" w:pos="1134" w:val="left"/>
        </w:tabs>
        <w:ind w:firstLine="141" w:left="709"/>
        <w:jc w:val="both"/>
        <w:rPr>
          <w:color w:val="000000"/>
        </w:rPr>
      </w:pPr>
    </w:p>
    <w:p w14:paraId="20000000">
      <w:pPr>
        <w:pStyle w:val="Style_4"/>
        <w:ind w:firstLine="850" w:left="0"/>
        <w:jc w:val="both"/>
        <w:rPr>
          <w:rFonts w:ascii="Times New Roman" w:hAnsi="Times New Roman"/>
          <w:sz w:val="28"/>
        </w:rPr>
      </w:pPr>
      <w:r>
        <w:rPr>
          <w:color w:val="000000"/>
        </w:rPr>
        <w:t>3.</w:t>
      </w:r>
      <w:r>
        <w:rPr>
          <w:b w:val="0"/>
          <w:color w:val="000000"/>
        </w:rPr>
        <w:t>1.</w:t>
      </w:r>
      <w:r>
        <w:rPr>
          <w:b w:val="0"/>
        </w:rPr>
        <w:t xml:space="preserve"> Утвердить</w:t>
      </w:r>
      <w:r>
        <w:rPr>
          <w:b w:val="1"/>
        </w:rPr>
        <w:t xml:space="preserve"> </w:t>
      </w:r>
      <w:r>
        <w:rPr>
          <w:rFonts w:ascii="Times New Roman" w:hAnsi="Times New Roman"/>
          <w:sz w:val="28"/>
        </w:rPr>
        <w:t>Региональную программу развития экспорта Камчатского края на период с 2024 по 2027 год.</w:t>
      </w:r>
    </w:p>
    <w:p w14:paraId="21000000">
      <w:pPr>
        <w:pStyle w:val="Style_4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3.2. Министерству туризма Камчатского края отчитаться о промежуточных итогах реализации </w:t>
      </w:r>
      <w:r>
        <w:rPr>
          <w:rFonts w:ascii="Times New Roman" w:hAnsi="Times New Roman"/>
          <w:sz w:val="28"/>
        </w:rPr>
        <w:t>Региональной программы развития экспорта Камчатского края</w:t>
      </w:r>
    </w:p>
    <w:p w14:paraId="22000000">
      <w:pPr>
        <w:pStyle w:val="Style_4"/>
        <w:ind w:firstLine="850" w:left="0"/>
        <w:jc w:val="both"/>
        <w:rPr>
          <w:rFonts w:ascii="Times New Roman" w:hAnsi="Times New Roman"/>
          <w:sz w:val="28"/>
        </w:rPr>
      </w:pPr>
      <w:r>
        <w:rPr>
          <w:color w:val="000000"/>
        </w:rPr>
        <w:t>срок – доклад на заседании Совета по ВЭД во II квартал 2024 года.</w:t>
      </w:r>
    </w:p>
    <w:p w14:paraId="23000000">
      <w:pPr>
        <w:pStyle w:val="Style_4"/>
        <w:ind w:firstLine="850" w:left="0"/>
        <w:jc w:val="both"/>
        <w:rPr>
          <w:rFonts w:ascii="Times New Roman" w:hAnsi="Times New Roman"/>
          <w:sz w:val="28"/>
        </w:rPr>
      </w:pPr>
    </w:p>
    <w:p w14:paraId="24000000">
      <w:pPr>
        <w:pStyle w:val="Style_4"/>
        <w:ind w:firstLine="850" w:left="0"/>
        <w:jc w:val="both"/>
      </w:pPr>
    </w:p>
    <w:tbl>
      <w:tblPr>
        <w:tblStyle w:val="Style_3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9921"/>
      </w:tblGrid>
      <w:tr>
        <w:tc>
          <w:tcPr>
            <w:tcW w:type="dxa" w:w="9921"/>
            <w:tcBorders>
              <w:left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5000000">
            <w:pPr>
              <w:pStyle w:val="Style_2"/>
              <w:widowControl w:val="1"/>
              <w:spacing w:after="200" w:before="0" w:line="264" w:lineRule="auto"/>
              <w:ind w:firstLine="850"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4. </w:t>
            </w:r>
            <w:r>
              <w:rPr>
                <w:rFonts w:ascii="Times New Roman" w:hAnsi="Times New Roman"/>
                <w:sz w:val="28"/>
              </w:rPr>
              <w:t>О Плане работы Совета по ВЭД на 2024 год.</w:t>
            </w:r>
          </w:p>
        </w:tc>
      </w:tr>
    </w:tbl>
    <w:p w14:paraId="26000000">
      <w:pPr>
        <w:pStyle w:val="Style_4"/>
        <w:tabs>
          <w:tab w:leader="none" w:pos="708" w:val="clear"/>
          <w:tab w:leader="none" w:pos="1134" w:val="left"/>
        </w:tabs>
        <w:ind w:firstLine="141" w:left="709"/>
        <w:jc w:val="both"/>
        <w:rPr>
          <w:color w:val="000000"/>
        </w:rPr>
      </w:pPr>
    </w:p>
    <w:p w14:paraId="27000000">
      <w:pPr>
        <w:pStyle w:val="Style_4"/>
        <w:ind w:firstLine="850" w:left="0"/>
        <w:jc w:val="both"/>
        <w:rPr>
          <w:rFonts w:ascii="Times New Roman" w:hAnsi="Times New Roman"/>
          <w:sz w:val="28"/>
        </w:rPr>
      </w:pPr>
      <w:r>
        <w:rPr>
          <w:color w:val="000000"/>
        </w:rPr>
        <w:t>4.</w:t>
      </w:r>
      <w:r>
        <w:rPr>
          <w:b w:val="0"/>
          <w:color w:val="000000"/>
        </w:rPr>
        <w:t>1.</w:t>
      </w:r>
      <w:r>
        <w:rPr>
          <w:b w:val="0"/>
        </w:rPr>
        <w:t xml:space="preserve"> </w:t>
      </w:r>
      <w:r>
        <w:t xml:space="preserve">Принять за основу </w:t>
      </w:r>
      <w:r>
        <w:rPr>
          <w:color w:val="000000"/>
        </w:rPr>
        <w:t xml:space="preserve">план </w:t>
      </w:r>
      <w:r>
        <w:t xml:space="preserve">работы Совета по внешнеэкономической деятельности при Губернаторе </w:t>
      </w:r>
      <w:r>
        <w:t>Камчатского края на 2023 год.</w:t>
      </w:r>
    </w:p>
    <w:p w14:paraId="28000000">
      <w:pPr>
        <w:pStyle w:val="Style_4"/>
        <w:ind w:firstLine="850" w:left="0"/>
        <w:jc w:val="both"/>
        <w:rPr>
          <w:rFonts w:ascii="Times New Roman" w:hAnsi="Times New Roman"/>
          <w:sz w:val="28"/>
        </w:rPr>
      </w:pPr>
    </w:p>
    <w:p w14:paraId="29000000">
      <w:pPr>
        <w:pStyle w:val="Style_4"/>
        <w:ind w:firstLine="850" w:left="0"/>
        <w:jc w:val="both"/>
        <w:rPr>
          <w:rFonts w:ascii="Times New Roman" w:hAnsi="Times New Roman"/>
          <w:sz w:val="28"/>
        </w:rPr>
      </w:pPr>
    </w:p>
    <w:p w14:paraId="2A000000">
      <w:pPr>
        <w:pStyle w:val="Style_4"/>
        <w:ind w:firstLine="709" w:left="0"/>
        <w:jc w:val="both"/>
        <w:rPr>
          <w:b w:val="1"/>
        </w:rPr>
      </w:pPr>
    </w:p>
    <w:sectPr>
      <w:headerReference r:id="rId1" w:type="default"/>
      <w:type w:val="nextPage"/>
      <w:pgSz w:h="16838" w:orient="portrait" w:w="11906"/>
      <w:pgMar w:bottom="1134" w:footer="0" w:gutter="0" w:header="0" w:left="1418" w:right="567" w:top="1134"/>
      <w:pgNumType w:fmt="decimal" w:start="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>PAGE \* Arabic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</w:p>
  <w:p w14:paraId="02000000">
    <w:pPr>
      <w:pStyle w:val="Style_1"/>
      <w:ind/>
      <w:jc w:val="center"/>
    </w:pPr>
  </w:p>
  <w:p w14:paraId="03000000">
    <w:pPr>
      <w:pStyle w:val="Style_1"/>
      <w:ind/>
      <w:jc w:val="center"/>
      <w:rPr>
        <w:rFonts w:ascii="Times New Roman" w:hAnsi="Times New Roman"/>
        <w:sz w:val="24"/>
      </w:rPr>
    </w:pPr>
  </w:p>
  <w:p w14:paraId="04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2"/>
      <w:numFmt w:val="decimal"/>
      <w:lvlText w:val="%1."/>
      <w:lvlJc w:val="left"/>
      <w:pPr>
        <w:tabs>
          <w:tab w:leader="none" w:pos="0" w:val="left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leader="none" w:pos="0" w:val="left"/>
        </w:tabs>
        <w:ind w:hanging="360" w:left="786"/>
      </w:pPr>
    </w:lvl>
    <w:lvl w:ilvl="2">
      <w:start w:val="1"/>
      <w:numFmt w:val="decimal"/>
      <w:lvlText w:val="%1.%2.%3."/>
      <w:lvlJc w:val="left"/>
      <w:pPr>
        <w:tabs>
          <w:tab w:leader="none" w:pos="0" w:val="left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leader="none" w:pos="0" w:val="left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leader="none" w:pos="0" w:val="left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leader="none" w:pos="0" w:val="left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leader="none" w:pos="0" w:val="left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leader="none" w:pos="0" w:val="left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leader="none" w:pos="0" w:val="left"/>
        </w:tabs>
        <w:ind w:hanging="1800" w:left="180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after="200" w:before="0" w:line="276" w:lineRule="auto"/>
      <w:ind/>
      <w:jc w:val="left"/>
    </w:pPr>
    <w:rPr>
      <w:rFonts w:asciiTheme="minorAscii" w:hAnsiTheme="minorHAnsi"/>
      <w:color w:val="000000"/>
      <w:sz w:val="22"/>
    </w:rPr>
  </w:style>
  <w:style w:default="1" w:styleId="Style_2_ch" w:type="character">
    <w:name w:val="Normal"/>
    <w:link w:val="Style_2"/>
    <w:rPr>
      <w:rFonts w:asciiTheme="minorAscii" w:hAnsiTheme="minorHAnsi"/>
      <w:color w:val="000000"/>
      <w:sz w:val="22"/>
    </w:rPr>
  </w:style>
  <w:style w:styleId="Style_5" w:type="paragraph">
    <w:name w:val="toc 2"/>
    <w:next w:val="Style_2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2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1" w:type="paragraph">
    <w:name w:val="Header"/>
    <w:basedOn w:val="Style_2"/>
    <w:link w:val="Style_1_ch"/>
    <w:pPr>
      <w:tabs>
        <w:tab w:leader="none" w:pos="708" w:val="clear"/>
        <w:tab w:leader="none" w:pos="4677" w:val="center"/>
        <w:tab w:leader="none" w:pos="9355" w:val="right"/>
      </w:tabs>
      <w:spacing w:after="0" w:before="0" w:line="240" w:lineRule="auto"/>
      <w:ind/>
    </w:pPr>
  </w:style>
  <w:style w:styleId="Style_1_ch" w:type="character">
    <w:name w:val="Header"/>
    <w:basedOn w:val="Style_2_ch"/>
    <w:link w:val="Style_1"/>
  </w:style>
  <w:style w:styleId="Style_7" w:type="paragraph">
    <w:name w:val="toc 6"/>
    <w:next w:val="Style_2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2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2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4" w:type="paragraph">
    <w:name w:val="List Paragraph"/>
    <w:basedOn w:val="Style_2"/>
    <w:link w:val="Style_4_ch"/>
    <w:pPr>
      <w:spacing w:after="0" w:before="0" w:line="240" w:lineRule="auto"/>
      <w:ind w:firstLine="0" w:left="720"/>
      <w:contextualSpacing w:val="1"/>
    </w:pPr>
    <w:rPr>
      <w:rFonts w:ascii="Times New Roman" w:hAnsi="Times New Roman"/>
      <w:sz w:val="28"/>
    </w:rPr>
  </w:style>
  <w:style w:styleId="Style_4_ch" w:type="character">
    <w:name w:val="List Paragraph"/>
    <w:basedOn w:val="Style_2_ch"/>
    <w:link w:val="Style_4"/>
    <w:rPr>
      <w:rFonts w:ascii="Times New Roman" w:hAnsi="Times New Roman"/>
      <w:sz w:val="28"/>
    </w:rPr>
  </w:style>
  <w:style w:styleId="Style_11" w:type="paragraph">
    <w:name w:val="List"/>
    <w:basedOn w:val="Style_12"/>
    <w:link w:val="Style_11_ch"/>
  </w:style>
  <w:style w:styleId="Style_11_ch" w:type="character">
    <w:name w:val="List"/>
    <w:basedOn w:val="Style_12_ch"/>
    <w:link w:val="Style_11"/>
  </w:style>
  <w:style w:styleId="Style_13" w:type="paragraph">
    <w:name w:val="toc 3"/>
    <w:next w:val="Style_2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next w:val="Style_2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Колонтитул"/>
    <w:basedOn w:val="Style_2"/>
    <w:link w:val="Style_15_ch"/>
  </w:style>
  <w:style w:styleId="Style_15_ch" w:type="character">
    <w:name w:val="Колонтитул"/>
    <w:basedOn w:val="Style_2_ch"/>
    <w:link w:val="Style_15"/>
  </w:style>
  <w:style w:styleId="Style_16" w:type="paragraph">
    <w:name w:val="heading 1"/>
    <w:next w:val="Style_2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2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21" w:type="paragraph">
    <w:name w:val="Верхний колонтитул Знак"/>
    <w:basedOn w:val="Style_22"/>
    <w:link w:val="Style_21_ch"/>
    <w:rPr>
      <w:rFonts w:ascii="Calibri" w:hAnsi="Calibri"/>
    </w:rPr>
  </w:style>
  <w:style w:styleId="Style_21_ch" w:type="character">
    <w:name w:val="Верхний колонтитул Знак"/>
    <w:basedOn w:val="Style_22_ch"/>
    <w:link w:val="Style_21"/>
    <w:rPr>
      <w:rFonts w:ascii="Calibri" w:hAnsi="Calibri"/>
    </w:rPr>
  </w:style>
  <w:style w:styleId="Style_23" w:type="paragraph">
    <w:name w:val="toc 9"/>
    <w:next w:val="Style_2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Указатель"/>
    <w:basedOn w:val="Style_2"/>
    <w:link w:val="Style_24_ch"/>
  </w:style>
  <w:style w:styleId="Style_24_ch" w:type="character">
    <w:name w:val="Указатель"/>
    <w:basedOn w:val="Style_2_ch"/>
    <w:link w:val="Style_24"/>
  </w:style>
  <w:style w:styleId="Style_25" w:type="paragraph">
    <w:name w:val="Caption"/>
    <w:basedOn w:val="Style_2"/>
    <w:link w:val="Style_25_ch"/>
    <w:pPr>
      <w:spacing w:after="120" w:before="120"/>
      <w:ind/>
    </w:pPr>
    <w:rPr>
      <w:i w:val="1"/>
      <w:sz w:val="24"/>
    </w:rPr>
  </w:style>
  <w:style w:styleId="Style_25_ch" w:type="character">
    <w:name w:val="Caption"/>
    <w:basedOn w:val="Style_2_ch"/>
    <w:link w:val="Style_25"/>
    <w:rPr>
      <w:i w:val="1"/>
      <w:sz w:val="24"/>
    </w:rPr>
  </w:style>
  <w:style w:styleId="Style_26" w:type="paragraph">
    <w:name w:val="toc 8"/>
    <w:next w:val="Style_2"/>
    <w:link w:val="Style_2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12" w:type="paragraph">
    <w:name w:val="Body Text"/>
    <w:basedOn w:val="Style_2"/>
    <w:link w:val="Style_12_ch"/>
    <w:pPr>
      <w:spacing w:after="140" w:before="0" w:line="276" w:lineRule="auto"/>
      <w:ind/>
    </w:pPr>
  </w:style>
  <w:style w:styleId="Style_12_ch" w:type="character">
    <w:name w:val="Body Text"/>
    <w:basedOn w:val="Style_2_ch"/>
    <w:link w:val="Style_12"/>
  </w:style>
  <w:style w:styleId="Style_27" w:type="paragraph">
    <w:name w:val="toc 5"/>
    <w:next w:val="Style_2"/>
    <w:link w:val="Style_2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28" w:type="paragraph">
    <w:name w:val="Subtitle"/>
    <w:next w:val="Style_2"/>
    <w:link w:val="Style_2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8_ch" w:type="character">
    <w:name w:val="Subtitle"/>
    <w:link w:val="Style_28"/>
    <w:rPr>
      <w:rFonts w:ascii="XO Thames" w:hAnsi="XO Thames"/>
      <w:i w:val="1"/>
      <w:sz w:val="24"/>
    </w:rPr>
  </w:style>
  <w:style w:styleId="Style_29" w:type="paragraph">
    <w:name w:val="Заголовок"/>
    <w:basedOn w:val="Style_2"/>
    <w:next w:val="Style_12"/>
    <w:link w:val="Style_29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29_ch" w:type="character">
    <w:name w:val="Заголовок"/>
    <w:basedOn w:val="Style_2_ch"/>
    <w:link w:val="Style_29"/>
    <w:rPr>
      <w:rFonts w:ascii="Liberation Sans" w:hAnsi="Liberation Sans"/>
      <w:sz w:val="28"/>
    </w:rPr>
  </w:style>
  <w:style w:styleId="Style_30" w:type="paragraph">
    <w:name w:val="Title"/>
    <w:next w:val="Style_2"/>
    <w:link w:val="Style_3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0_ch" w:type="character">
    <w:name w:val="Title"/>
    <w:link w:val="Style_30"/>
    <w:rPr>
      <w:rFonts w:ascii="XO Thames" w:hAnsi="XO Thames"/>
      <w:b w:val="1"/>
      <w:caps w:val="1"/>
      <w:sz w:val="40"/>
    </w:rPr>
  </w:style>
  <w:style w:styleId="Style_31" w:type="paragraph">
    <w:name w:val="heading 4"/>
    <w:next w:val="Style_2"/>
    <w:link w:val="Style_3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1_ch" w:type="character">
    <w:name w:val="heading 4"/>
    <w:link w:val="Style_31"/>
    <w:rPr>
      <w:rFonts w:ascii="XO Thames" w:hAnsi="XO Thames"/>
      <w:b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32" w:type="paragraph">
    <w:name w:val="heading 2"/>
    <w:next w:val="Style_2"/>
    <w:link w:val="Style_3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2_ch" w:type="character">
    <w:name w:val="heading 2"/>
    <w:link w:val="Style_32"/>
    <w:rPr>
      <w:rFonts w:ascii="XO Thames" w:hAnsi="XO Thames"/>
      <w:b w:val="1"/>
      <w:sz w:val="28"/>
    </w:rPr>
  </w:style>
  <w:style w:default="1" w:styleId="Style_33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  <w:style w:styleId="Style_3" w:type="table">
    <w:name w:val="Table Grid"/>
    <w:basedOn w:val="Style_33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2023-12-12T05:59:49Z</dcterms:modified>
</cp:coreProperties>
</file>